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2C" w:rsidRPr="0002532C" w:rsidRDefault="0002532C" w:rsidP="0002532C">
      <w:pPr>
        <w:jc w:val="center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02532C">
        <w:rPr>
          <w:rFonts w:ascii="Arial" w:hAnsi="Arial" w:cs="Arial"/>
          <w:b/>
          <w:color w:val="31849B" w:themeColor="accent5" w:themeShade="BF"/>
          <w:sz w:val="24"/>
          <w:szCs w:val="24"/>
        </w:rPr>
        <w:t>Examples of charging calculations (simplified)</w:t>
      </w:r>
    </w:p>
    <w:p w:rsidR="0002532C" w:rsidRPr="0002532C" w:rsidRDefault="0002532C" w:rsidP="0002532C">
      <w:pPr>
        <w:jc w:val="center"/>
        <w:rPr>
          <w:rFonts w:ascii="Arial" w:hAnsi="Arial" w:cs="Arial"/>
          <w:b/>
          <w:color w:val="5F497A" w:themeColor="accent4" w:themeShade="BF"/>
          <w:sz w:val="24"/>
          <w:szCs w:val="24"/>
        </w:rPr>
      </w:pPr>
    </w:p>
    <w:p w:rsidR="0002532C" w:rsidRDefault="0002532C" w:rsidP="0002532C">
      <w:pPr>
        <w:rPr>
          <w:rFonts w:ascii="Arial" w:hAnsi="Arial" w:cs="Arial"/>
          <w:b/>
          <w:sz w:val="24"/>
          <w:szCs w:val="24"/>
        </w:rPr>
      </w:pPr>
      <w:r w:rsidRPr="0002532C">
        <w:rPr>
          <w:rFonts w:ascii="Arial" w:hAnsi="Arial" w:cs="Arial"/>
          <w:b/>
          <w:sz w:val="24"/>
          <w:szCs w:val="24"/>
        </w:rPr>
        <w:t>Example 1: A person not affected because of high levels of DRE</w:t>
      </w:r>
    </w:p>
    <w:p w:rsidR="0002532C" w:rsidRPr="0002532C" w:rsidRDefault="0002532C" w:rsidP="0002532C">
      <w:pPr>
        <w:rPr>
          <w:rFonts w:ascii="Arial" w:hAnsi="Arial" w:cs="Arial"/>
          <w:b/>
          <w:sz w:val="24"/>
          <w:szCs w:val="24"/>
        </w:rPr>
      </w:pPr>
    </w:p>
    <w:p w:rsidR="0002532C" w:rsidRPr="0002532C" w:rsidRDefault="0002532C" w:rsidP="0002532C">
      <w:pPr>
        <w:rPr>
          <w:rFonts w:ascii="Arial" w:hAnsi="Arial" w:cs="Arial"/>
          <w:sz w:val="24"/>
          <w:szCs w:val="24"/>
        </w:rPr>
      </w:pPr>
      <w:r w:rsidRPr="0002532C">
        <w:rPr>
          <w:rFonts w:ascii="Arial" w:hAnsi="Arial" w:cs="Arial"/>
          <w:sz w:val="24"/>
          <w:szCs w:val="24"/>
        </w:rPr>
        <w:t>In this example, a person’s DRE is more than the current minimum allowance of £20. Therefore, there would be no increase in charge.</w:t>
      </w:r>
    </w:p>
    <w:p w:rsidR="0002532C" w:rsidRPr="0002532C" w:rsidRDefault="0002532C" w:rsidP="0002532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5212"/>
        <w:gridCol w:w="1204"/>
        <w:gridCol w:w="1205"/>
      </w:tblGrid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Current</w:t>
            </w:r>
          </w:p>
        </w:tc>
        <w:tc>
          <w:tcPr>
            <w:tcW w:w="1205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Proposed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Allowances</w:t>
            </w: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State retirement pension</w:t>
            </w: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£126</w:t>
            </w: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£126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Pension credit</w:t>
            </w:r>
            <w:r w:rsidRPr="0002532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£37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£37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Basic level of income support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£163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£163</w:t>
            </w:r>
          </w:p>
        </w:tc>
      </w:tr>
      <w:tr w:rsidR="0002532C" w:rsidRPr="0002532C" w:rsidTr="001310BB">
        <w:trPr>
          <w:trHeight w:val="95"/>
        </w:trPr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2C" w:rsidRPr="0002532C" w:rsidTr="001310BB">
        <w:trPr>
          <w:trHeight w:val="105"/>
        </w:trPr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125% of basic income support</w:t>
            </w: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£204</w:t>
            </w: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£204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Allowable DRE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£26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£26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Total allowances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£230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£230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State retirement pension</w:t>
            </w: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£126</w:t>
            </w: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£126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Occupational pension</w:t>
            </w: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£105</w:t>
            </w: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£105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Attendance allowance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£57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£57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Total relevant income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£288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£288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shd w:val="clear" w:color="auto" w:fill="DAEEF3" w:themeFill="accent5" w:themeFillTin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Actual weekly charge</w:t>
            </w:r>
          </w:p>
          <w:p w:rsidR="0002532C" w:rsidRPr="0002532C" w:rsidRDefault="0002532C" w:rsidP="001310BB">
            <w:pPr>
              <w:shd w:val="clear" w:color="auto" w:fill="DAEEF3" w:themeFill="accent5" w:themeFillTin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(income minus allowances)</w:t>
            </w:r>
          </w:p>
        </w:tc>
        <w:tc>
          <w:tcPr>
            <w:tcW w:w="1204" w:type="dxa"/>
            <w:shd w:val="clear" w:color="auto" w:fill="DAEEF3" w:themeFill="accent5" w:themeFillTint="33"/>
            <w:vAlign w:val="center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£58</w:t>
            </w:r>
          </w:p>
        </w:tc>
        <w:tc>
          <w:tcPr>
            <w:tcW w:w="1205" w:type="dxa"/>
            <w:shd w:val="clear" w:color="auto" w:fill="DAEEF3" w:themeFill="accent5" w:themeFillTint="33"/>
            <w:vAlign w:val="center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£58</w:t>
            </w:r>
          </w:p>
        </w:tc>
      </w:tr>
    </w:tbl>
    <w:p w:rsidR="0002532C" w:rsidRPr="0002532C" w:rsidRDefault="0002532C" w:rsidP="0002532C">
      <w:pPr>
        <w:rPr>
          <w:rFonts w:ascii="Arial" w:hAnsi="Arial" w:cs="Arial"/>
          <w:b/>
          <w:color w:val="5F497A" w:themeColor="accent4" w:themeShade="BF"/>
          <w:sz w:val="24"/>
          <w:szCs w:val="24"/>
        </w:rPr>
      </w:pPr>
    </w:p>
    <w:p w:rsidR="0002532C" w:rsidRPr="0002532C" w:rsidRDefault="0002532C" w:rsidP="0002532C">
      <w:pPr>
        <w:rPr>
          <w:rFonts w:ascii="Arial" w:hAnsi="Arial" w:cs="Arial"/>
          <w:b/>
          <w:sz w:val="24"/>
          <w:szCs w:val="24"/>
        </w:rPr>
      </w:pPr>
    </w:p>
    <w:p w:rsidR="0002532C" w:rsidRDefault="0002532C" w:rsidP="0002532C">
      <w:pPr>
        <w:rPr>
          <w:rFonts w:ascii="Arial" w:hAnsi="Arial" w:cs="Arial"/>
          <w:b/>
          <w:sz w:val="24"/>
          <w:szCs w:val="24"/>
        </w:rPr>
      </w:pPr>
      <w:r w:rsidRPr="0002532C">
        <w:rPr>
          <w:rFonts w:ascii="Arial" w:hAnsi="Arial" w:cs="Arial"/>
          <w:b/>
          <w:sz w:val="24"/>
          <w:szCs w:val="24"/>
        </w:rPr>
        <w:t>Example 2: A working age adult not currently paying a charge</w:t>
      </w:r>
    </w:p>
    <w:p w:rsidR="0002532C" w:rsidRPr="0002532C" w:rsidRDefault="0002532C" w:rsidP="0002532C">
      <w:pPr>
        <w:rPr>
          <w:rFonts w:ascii="Arial" w:hAnsi="Arial" w:cs="Arial"/>
          <w:b/>
          <w:sz w:val="24"/>
          <w:szCs w:val="24"/>
        </w:rPr>
      </w:pPr>
    </w:p>
    <w:p w:rsidR="0002532C" w:rsidRPr="0002532C" w:rsidRDefault="0002532C" w:rsidP="0002532C">
      <w:pPr>
        <w:rPr>
          <w:rFonts w:ascii="Arial" w:hAnsi="Arial" w:cs="Arial"/>
          <w:sz w:val="24"/>
          <w:szCs w:val="24"/>
        </w:rPr>
      </w:pPr>
      <w:r w:rsidRPr="0002532C">
        <w:rPr>
          <w:rFonts w:ascii="Arial" w:hAnsi="Arial" w:cs="Arial"/>
          <w:sz w:val="24"/>
          <w:szCs w:val="24"/>
        </w:rPr>
        <w:t xml:space="preserve">In this example, a working age adult is not paying a contribution due to low levels of income. The proposed change to the DRE would not be enough </w:t>
      </w:r>
      <w:proofErr w:type="gramStart"/>
      <w:r w:rsidRPr="0002532C">
        <w:rPr>
          <w:rFonts w:ascii="Arial" w:hAnsi="Arial" w:cs="Arial"/>
          <w:sz w:val="24"/>
          <w:szCs w:val="24"/>
        </w:rPr>
        <w:t>in itself to</w:t>
      </w:r>
      <w:proofErr w:type="gramEnd"/>
      <w:r w:rsidRPr="0002532C">
        <w:rPr>
          <w:rFonts w:ascii="Arial" w:hAnsi="Arial" w:cs="Arial"/>
          <w:sz w:val="24"/>
          <w:szCs w:val="24"/>
        </w:rPr>
        <w:t xml:space="preserve"> bring them above the threshold to start having to pay for their care.</w:t>
      </w:r>
    </w:p>
    <w:p w:rsidR="0002532C" w:rsidRPr="0002532C" w:rsidRDefault="0002532C" w:rsidP="0002532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5212"/>
        <w:gridCol w:w="1204"/>
        <w:gridCol w:w="1205"/>
      </w:tblGrid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Current</w:t>
            </w:r>
          </w:p>
        </w:tc>
        <w:tc>
          <w:tcPr>
            <w:tcW w:w="1205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Proposed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Allowances</w:t>
            </w: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 xml:space="preserve">Employment </w:t>
            </w:r>
            <w:proofErr w:type="gramStart"/>
            <w:r w:rsidRPr="0002532C">
              <w:rPr>
                <w:rFonts w:ascii="Arial" w:hAnsi="Arial" w:cs="Arial"/>
                <w:sz w:val="24"/>
                <w:szCs w:val="24"/>
              </w:rPr>
              <w:t>and  support</w:t>
            </w:r>
            <w:proofErr w:type="gramEnd"/>
            <w:r w:rsidRPr="0002532C">
              <w:rPr>
                <w:rFonts w:ascii="Arial" w:hAnsi="Arial" w:cs="Arial"/>
                <w:sz w:val="24"/>
                <w:szCs w:val="24"/>
              </w:rPr>
              <w:t xml:space="preserve"> allowance</w:t>
            </w: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£127</w:t>
            </w: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£127</w:t>
            </w:r>
          </w:p>
        </w:tc>
      </w:tr>
      <w:tr w:rsidR="0002532C" w:rsidRPr="0002532C" w:rsidTr="001310BB">
        <w:trPr>
          <w:trHeight w:val="95"/>
        </w:trPr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2C" w:rsidRPr="0002532C" w:rsidTr="001310BB">
        <w:trPr>
          <w:trHeight w:val="105"/>
        </w:trPr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125% of basic income support</w:t>
            </w: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£159</w:t>
            </w: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£159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Allowable DRE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£20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£10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Total allowances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£179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£169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Employment and support allowance</w:t>
            </w: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£127</w:t>
            </w: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£127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Total relevant income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£127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£127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shd w:val="clear" w:color="auto" w:fill="DAEEF3" w:themeFill="accent5" w:themeFillTin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Actual weekly charge</w:t>
            </w:r>
          </w:p>
          <w:p w:rsidR="0002532C" w:rsidRPr="0002532C" w:rsidRDefault="0002532C" w:rsidP="001310BB">
            <w:pPr>
              <w:shd w:val="clear" w:color="auto" w:fill="DAEEF3" w:themeFill="accent5" w:themeFillTin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(income minus allowances)</w:t>
            </w:r>
          </w:p>
        </w:tc>
        <w:tc>
          <w:tcPr>
            <w:tcW w:w="1204" w:type="dxa"/>
            <w:shd w:val="clear" w:color="auto" w:fill="DAEEF3" w:themeFill="accent5" w:themeFillTint="33"/>
            <w:vAlign w:val="center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£0</w:t>
            </w:r>
          </w:p>
        </w:tc>
        <w:tc>
          <w:tcPr>
            <w:tcW w:w="1205" w:type="dxa"/>
            <w:shd w:val="clear" w:color="auto" w:fill="DAEEF3" w:themeFill="accent5" w:themeFillTint="33"/>
            <w:vAlign w:val="center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£0</w:t>
            </w:r>
          </w:p>
        </w:tc>
      </w:tr>
    </w:tbl>
    <w:p w:rsidR="0002532C" w:rsidRPr="0002532C" w:rsidRDefault="0002532C" w:rsidP="0002532C">
      <w:pPr>
        <w:rPr>
          <w:rFonts w:ascii="Arial" w:hAnsi="Arial" w:cs="Arial"/>
          <w:sz w:val="24"/>
          <w:szCs w:val="24"/>
        </w:rPr>
      </w:pPr>
    </w:p>
    <w:p w:rsidR="0002532C" w:rsidRPr="0002532C" w:rsidRDefault="0002532C" w:rsidP="0002532C">
      <w:pPr>
        <w:rPr>
          <w:rFonts w:ascii="Arial" w:hAnsi="Arial" w:cs="Arial"/>
          <w:b/>
          <w:sz w:val="24"/>
          <w:szCs w:val="24"/>
        </w:rPr>
      </w:pPr>
    </w:p>
    <w:p w:rsidR="0002532C" w:rsidRPr="0002532C" w:rsidRDefault="0002532C" w:rsidP="0002532C">
      <w:pPr>
        <w:rPr>
          <w:rFonts w:ascii="Arial" w:hAnsi="Arial" w:cs="Arial"/>
          <w:b/>
          <w:sz w:val="24"/>
          <w:szCs w:val="24"/>
        </w:rPr>
      </w:pPr>
    </w:p>
    <w:p w:rsidR="0002532C" w:rsidRPr="0002532C" w:rsidRDefault="0002532C" w:rsidP="0002532C">
      <w:pPr>
        <w:rPr>
          <w:rFonts w:ascii="Arial" w:hAnsi="Arial" w:cs="Arial"/>
          <w:b/>
          <w:sz w:val="24"/>
          <w:szCs w:val="24"/>
        </w:rPr>
      </w:pPr>
    </w:p>
    <w:p w:rsidR="0002532C" w:rsidRPr="0002532C" w:rsidRDefault="0002532C" w:rsidP="0002532C">
      <w:pPr>
        <w:rPr>
          <w:rFonts w:ascii="Arial" w:hAnsi="Arial" w:cs="Arial"/>
          <w:b/>
          <w:sz w:val="24"/>
          <w:szCs w:val="24"/>
        </w:rPr>
      </w:pPr>
    </w:p>
    <w:p w:rsidR="0002532C" w:rsidRDefault="0002532C" w:rsidP="0002532C">
      <w:pPr>
        <w:rPr>
          <w:rFonts w:ascii="Arial" w:hAnsi="Arial" w:cs="Arial"/>
          <w:b/>
          <w:sz w:val="24"/>
          <w:szCs w:val="24"/>
        </w:rPr>
      </w:pPr>
    </w:p>
    <w:p w:rsidR="0002532C" w:rsidRDefault="0002532C" w:rsidP="0002532C">
      <w:pPr>
        <w:rPr>
          <w:rFonts w:ascii="Arial" w:hAnsi="Arial" w:cs="Arial"/>
          <w:b/>
          <w:sz w:val="24"/>
          <w:szCs w:val="24"/>
        </w:rPr>
      </w:pPr>
    </w:p>
    <w:p w:rsidR="0002532C" w:rsidRDefault="0002532C" w:rsidP="0002532C">
      <w:pPr>
        <w:rPr>
          <w:rFonts w:ascii="Arial" w:hAnsi="Arial" w:cs="Arial"/>
          <w:b/>
          <w:sz w:val="24"/>
          <w:szCs w:val="24"/>
        </w:rPr>
      </w:pPr>
    </w:p>
    <w:p w:rsidR="0002532C" w:rsidRDefault="0002532C" w:rsidP="0002532C">
      <w:pPr>
        <w:rPr>
          <w:rFonts w:ascii="Arial" w:hAnsi="Arial" w:cs="Arial"/>
          <w:b/>
          <w:sz w:val="24"/>
          <w:szCs w:val="24"/>
        </w:rPr>
      </w:pPr>
    </w:p>
    <w:p w:rsidR="0002532C" w:rsidRDefault="0002532C" w:rsidP="0002532C">
      <w:pPr>
        <w:rPr>
          <w:rFonts w:ascii="Arial" w:hAnsi="Arial" w:cs="Arial"/>
          <w:b/>
          <w:sz w:val="24"/>
          <w:szCs w:val="24"/>
        </w:rPr>
      </w:pPr>
      <w:r w:rsidRPr="0002532C">
        <w:rPr>
          <w:rFonts w:ascii="Arial" w:hAnsi="Arial" w:cs="Arial"/>
          <w:b/>
          <w:sz w:val="24"/>
          <w:szCs w:val="24"/>
        </w:rPr>
        <w:lastRenderedPageBreak/>
        <w:t>Example 3: A person affected in part by the proposals</w:t>
      </w:r>
    </w:p>
    <w:p w:rsidR="0002532C" w:rsidRPr="0002532C" w:rsidRDefault="0002532C" w:rsidP="0002532C">
      <w:pPr>
        <w:rPr>
          <w:rFonts w:ascii="Arial" w:hAnsi="Arial" w:cs="Arial"/>
          <w:b/>
          <w:sz w:val="24"/>
          <w:szCs w:val="24"/>
        </w:rPr>
      </w:pPr>
    </w:p>
    <w:p w:rsidR="0002532C" w:rsidRPr="0002532C" w:rsidRDefault="0002532C" w:rsidP="0002532C">
      <w:pPr>
        <w:rPr>
          <w:rFonts w:ascii="Arial" w:hAnsi="Arial" w:cs="Arial"/>
          <w:sz w:val="24"/>
          <w:szCs w:val="24"/>
        </w:rPr>
      </w:pPr>
      <w:r w:rsidRPr="0002532C">
        <w:rPr>
          <w:rFonts w:ascii="Arial" w:hAnsi="Arial" w:cs="Arial"/>
          <w:sz w:val="24"/>
          <w:szCs w:val="24"/>
        </w:rPr>
        <w:t>In this example, a person’s actual DRE is £16, which is less than the current minimum allowance of £20, but more than the proposed minimum of £10. The allowable DRE in the financial assessment will therefore be £16. The service user charge increases by £4 in this example.</w:t>
      </w:r>
    </w:p>
    <w:p w:rsidR="0002532C" w:rsidRPr="0002532C" w:rsidRDefault="0002532C" w:rsidP="0002532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5212"/>
        <w:gridCol w:w="1204"/>
        <w:gridCol w:w="1205"/>
      </w:tblGrid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Current</w:t>
            </w:r>
          </w:p>
        </w:tc>
        <w:tc>
          <w:tcPr>
            <w:tcW w:w="1205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Proposed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Allowances</w:t>
            </w: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State retirement pension</w:t>
            </w: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£126</w:t>
            </w: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£126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Pension credit</w:t>
            </w:r>
            <w:r w:rsidRPr="0002532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£37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£37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Basic level of income support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£163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£163</w:t>
            </w:r>
          </w:p>
        </w:tc>
      </w:tr>
      <w:tr w:rsidR="0002532C" w:rsidRPr="0002532C" w:rsidTr="001310BB">
        <w:trPr>
          <w:trHeight w:val="95"/>
        </w:trPr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2C" w:rsidRPr="0002532C" w:rsidTr="001310BB">
        <w:trPr>
          <w:trHeight w:val="105"/>
        </w:trPr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125% of basic income support</w:t>
            </w: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£204</w:t>
            </w: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£204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Allowable DRE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£20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£16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Total allowances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£224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£220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State retirement pension</w:t>
            </w: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£126</w:t>
            </w: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£126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Occupational pension</w:t>
            </w: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£105</w:t>
            </w: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£105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Attendance allowance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£57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£57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Total relevant income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£288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£288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shd w:val="clear" w:color="auto" w:fill="DAEEF3" w:themeFill="accent5" w:themeFillTin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Actual weekly charge</w:t>
            </w:r>
          </w:p>
          <w:p w:rsidR="0002532C" w:rsidRPr="0002532C" w:rsidRDefault="0002532C" w:rsidP="001310BB">
            <w:pPr>
              <w:shd w:val="clear" w:color="auto" w:fill="DAEEF3" w:themeFill="accent5" w:themeFillTin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(income minus allowances)</w:t>
            </w:r>
          </w:p>
        </w:tc>
        <w:tc>
          <w:tcPr>
            <w:tcW w:w="1204" w:type="dxa"/>
            <w:shd w:val="clear" w:color="auto" w:fill="DAEEF3" w:themeFill="accent5" w:themeFillTint="33"/>
            <w:vAlign w:val="center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£64</w:t>
            </w:r>
          </w:p>
        </w:tc>
        <w:tc>
          <w:tcPr>
            <w:tcW w:w="1205" w:type="dxa"/>
            <w:shd w:val="clear" w:color="auto" w:fill="DAEEF3" w:themeFill="accent5" w:themeFillTint="33"/>
            <w:vAlign w:val="center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£68</w:t>
            </w:r>
          </w:p>
        </w:tc>
      </w:tr>
    </w:tbl>
    <w:p w:rsidR="0002532C" w:rsidRPr="0002532C" w:rsidRDefault="0002532C" w:rsidP="0002532C">
      <w:pPr>
        <w:rPr>
          <w:rFonts w:ascii="Arial" w:hAnsi="Arial" w:cs="Arial"/>
          <w:b/>
          <w:sz w:val="24"/>
          <w:szCs w:val="24"/>
        </w:rPr>
      </w:pPr>
    </w:p>
    <w:p w:rsidR="0002532C" w:rsidRPr="0002532C" w:rsidRDefault="0002532C" w:rsidP="0002532C">
      <w:pPr>
        <w:rPr>
          <w:rFonts w:ascii="Arial" w:hAnsi="Arial" w:cs="Arial"/>
          <w:b/>
          <w:sz w:val="24"/>
          <w:szCs w:val="24"/>
        </w:rPr>
      </w:pPr>
    </w:p>
    <w:p w:rsidR="0002532C" w:rsidRDefault="0002532C" w:rsidP="0002532C">
      <w:pPr>
        <w:rPr>
          <w:rFonts w:ascii="Arial" w:hAnsi="Arial" w:cs="Arial"/>
          <w:b/>
          <w:sz w:val="24"/>
          <w:szCs w:val="24"/>
        </w:rPr>
      </w:pPr>
      <w:r w:rsidRPr="0002532C">
        <w:rPr>
          <w:rFonts w:ascii="Arial" w:hAnsi="Arial" w:cs="Arial"/>
          <w:b/>
          <w:sz w:val="24"/>
          <w:szCs w:val="24"/>
        </w:rPr>
        <w:t>Example 4: A person affected in full by the proposals for DRE</w:t>
      </w:r>
    </w:p>
    <w:p w:rsidR="0002532C" w:rsidRPr="0002532C" w:rsidRDefault="0002532C" w:rsidP="0002532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2532C" w:rsidRPr="0002532C" w:rsidRDefault="0002532C" w:rsidP="0002532C">
      <w:pPr>
        <w:rPr>
          <w:rFonts w:ascii="Arial" w:hAnsi="Arial" w:cs="Arial"/>
          <w:sz w:val="24"/>
          <w:szCs w:val="24"/>
        </w:rPr>
      </w:pPr>
      <w:r w:rsidRPr="0002532C">
        <w:rPr>
          <w:rFonts w:ascii="Arial" w:hAnsi="Arial" w:cs="Arial"/>
          <w:sz w:val="24"/>
          <w:szCs w:val="24"/>
        </w:rPr>
        <w:t>In this example, a person’s actual DRE is less than £10, meaning that the council’s minimum DRE allowance would be used in the financial assessment. This would increase their charge by £10.</w:t>
      </w:r>
    </w:p>
    <w:p w:rsidR="0002532C" w:rsidRPr="0002532C" w:rsidRDefault="0002532C" w:rsidP="0002532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5212"/>
        <w:gridCol w:w="1204"/>
        <w:gridCol w:w="1205"/>
      </w:tblGrid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Current</w:t>
            </w:r>
          </w:p>
        </w:tc>
        <w:tc>
          <w:tcPr>
            <w:tcW w:w="1205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Proposed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Allowances</w:t>
            </w: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State retirement pension</w:t>
            </w: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£126</w:t>
            </w: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£126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Pension credit</w:t>
            </w:r>
            <w:r w:rsidRPr="0002532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£37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£37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Basic level of income support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£163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£163</w:t>
            </w:r>
          </w:p>
        </w:tc>
      </w:tr>
      <w:tr w:rsidR="0002532C" w:rsidRPr="0002532C" w:rsidTr="001310BB">
        <w:trPr>
          <w:trHeight w:val="95"/>
        </w:trPr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2C" w:rsidRPr="0002532C" w:rsidTr="001310BB">
        <w:trPr>
          <w:trHeight w:val="105"/>
        </w:trPr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125% of basic income support</w:t>
            </w: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£204</w:t>
            </w: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£204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Allowable DRE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£20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2532C">
              <w:rPr>
                <w:rFonts w:ascii="Arial" w:hAnsi="Arial" w:cs="Arial"/>
                <w:bCs/>
                <w:sz w:val="24"/>
                <w:szCs w:val="24"/>
              </w:rPr>
              <w:t>£10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Total allowances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£224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£214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State retirement pension</w:t>
            </w: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£126</w:t>
            </w: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£126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Occupational pension</w:t>
            </w:r>
          </w:p>
        </w:tc>
        <w:tc>
          <w:tcPr>
            <w:tcW w:w="1204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£105</w:t>
            </w:r>
          </w:p>
        </w:tc>
        <w:tc>
          <w:tcPr>
            <w:tcW w:w="1205" w:type="dxa"/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£105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Attendance allowance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£57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£57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02532C" w:rsidRPr="0002532C" w:rsidRDefault="0002532C" w:rsidP="001310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Total relevant income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£288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£288</w:t>
            </w:r>
          </w:p>
        </w:tc>
      </w:tr>
      <w:tr w:rsidR="0002532C" w:rsidRPr="0002532C" w:rsidTr="001310BB">
        <w:tc>
          <w:tcPr>
            <w:tcW w:w="1559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DAEEF3" w:themeFill="accent5" w:themeFillTint="33"/>
          </w:tcPr>
          <w:p w:rsidR="0002532C" w:rsidRPr="0002532C" w:rsidRDefault="0002532C" w:rsidP="001310BB">
            <w:pPr>
              <w:shd w:val="clear" w:color="auto" w:fill="DAEEF3" w:themeFill="accent5" w:themeFillTin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Actual weekly charge</w:t>
            </w:r>
          </w:p>
          <w:p w:rsidR="0002532C" w:rsidRPr="0002532C" w:rsidRDefault="0002532C" w:rsidP="001310BB">
            <w:pPr>
              <w:shd w:val="clear" w:color="auto" w:fill="DAEEF3" w:themeFill="accent5" w:themeFillTin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32C">
              <w:rPr>
                <w:rFonts w:ascii="Arial" w:hAnsi="Arial" w:cs="Arial"/>
                <w:sz w:val="24"/>
                <w:szCs w:val="24"/>
              </w:rPr>
              <w:t>(income minus allowances)</w:t>
            </w:r>
          </w:p>
        </w:tc>
        <w:tc>
          <w:tcPr>
            <w:tcW w:w="1204" w:type="dxa"/>
            <w:shd w:val="clear" w:color="auto" w:fill="DAEEF3" w:themeFill="accent5" w:themeFillTint="33"/>
            <w:vAlign w:val="center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£64</w:t>
            </w:r>
          </w:p>
        </w:tc>
        <w:tc>
          <w:tcPr>
            <w:tcW w:w="1205" w:type="dxa"/>
            <w:shd w:val="clear" w:color="auto" w:fill="DAEEF3" w:themeFill="accent5" w:themeFillTint="33"/>
            <w:vAlign w:val="center"/>
          </w:tcPr>
          <w:p w:rsidR="0002532C" w:rsidRPr="0002532C" w:rsidRDefault="0002532C" w:rsidP="001310BB">
            <w:pPr>
              <w:ind w:left="-14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32C">
              <w:rPr>
                <w:rFonts w:ascii="Arial" w:hAnsi="Arial" w:cs="Arial"/>
                <w:b/>
                <w:sz w:val="24"/>
                <w:szCs w:val="24"/>
              </w:rPr>
              <w:t>£74</w:t>
            </w:r>
          </w:p>
        </w:tc>
      </w:tr>
    </w:tbl>
    <w:p w:rsidR="00E42810" w:rsidRPr="0002532C" w:rsidRDefault="00E42810" w:rsidP="0002532C">
      <w:pPr>
        <w:rPr>
          <w:rFonts w:ascii="Arial" w:hAnsi="Arial" w:cs="Arial"/>
          <w:sz w:val="24"/>
          <w:szCs w:val="24"/>
        </w:rPr>
      </w:pPr>
    </w:p>
    <w:sectPr w:rsidR="00E42810" w:rsidRPr="0002532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3FF" w:rsidRDefault="00A143FF" w:rsidP="00B05BCB">
      <w:r>
        <w:separator/>
      </w:r>
    </w:p>
  </w:endnote>
  <w:endnote w:type="continuationSeparator" w:id="0">
    <w:p w:rsidR="00A143FF" w:rsidRDefault="00A143FF" w:rsidP="00B0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3FF" w:rsidRDefault="00A143FF" w:rsidP="00B05BCB">
      <w:r>
        <w:separator/>
      </w:r>
    </w:p>
  </w:footnote>
  <w:footnote w:type="continuationSeparator" w:id="0">
    <w:p w:rsidR="00A143FF" w:rsidRDefault="00A143FF" w:rsidP="00B0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BCB" w:rsidRDefault="00B05BCB" w:rsidP="00B05BCB">
    <w:pPr>
      <w:pStyle w:val="Header"/>
      <w:jc w:val="right"/>
    </w:pPr>
    <w:r>
      <w:t>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CB"/>
    <w:rsid w:val="0002532C"/>
    <w:rsid w:val="005D3EC5"/>
    <w:rsid w:val="00A143FF"/>
    <w:rsid w:val="00B05BCB"/>
    <w:rsid w:val="00E4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D0BE"/>
  <w15:chartTrackingRefBased/>
  <w15:docId w15:val="{C9165A93-DC81-4A5F-92D5-A576B79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BCB"/>
  </w:style>
  <w:style w:type="paragraph" w:styleId="Footer">
    <w:name w:val="footer"/>
    <w:basedOn w:val="Normal"/>
    <w:link w:val="FooterChar"/>
    <w:uiPriority w:val="99"/>
    <w:unhideWhenUsed/>
    <w:rsid w:val="00B05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Patel</dc:creator>
  <cp:keywords/>
  <dc:description/>
  <cp:lastModifiedBy>Prashant Patel</cp:lastModifiedBy>
  <cp:revision>2</cp:revision>
  <dcterms:created xsi:type="dcterms:W3CDTF">2018-11-06T16:39:00Z</dcterms:created>
  <dcterms:modified xsi:type="dcterms:W3CDTF">2018-11-06T16:42:00Z</dcterms:modified>
</cp:coreProperties>
</file>